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</w:rPr>
        <w:t>.人力资源管理的外部环境因素包括政府、国内外经济环境、劳动力市场环境、组织的地理位置等。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</w:rPr>
        <w:t>.劳动安全不属于人力资源管理活动。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</w:rPr>
        <w:t>.人力资源管理的内部环境因素包括企业战略、目标、组织文化、领导的风格与经验，组织的地理位置等。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>.人才租赁是我国近年来出现的一种派生的人才服务项目，它指用人单位根据自己的工作实际需要，向人才中介组织提出所需人才的标准条件和工资、福利待遇，人才中介组织通过查询自己的人才库、向社会招聘等方式搜索符合条件的人才，经严格挑选，把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</w:rPr>
        <w:t>人才派往用人单位工作的服务方式。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2876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xuning</dc:creator>
  <cp:lastModifiedBy>xuning</cp:lastModifiedBy>
  <dcterms:modified xsi:type="dcterms:W3CDTF">2017-10-23T09:03:11Z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